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AC92D" w14:textId="77777777" w:rsidR="003D03DC" w:rsidRDefault="003D03D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08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10080"/>
      </w:tblGrid>
      <w:tr w:rsidR="003D03DC" w14:paraId="673428C5" w14:textId="77777777">
        <w:tc>
          <w:tcPr>
            <w:tcW w:w="10080" w:type="dxa"/>
            <w:shd w:val="clear" w:color="auto" w:fill="2E6B4F"/>
            <w:tcMar>
              <w:top w:w="160" w:type="dxa"/>
              <w:left w:w="200" w:type="dxa"/>
              <w:bottom w:w="160" w:type="dxa"/>
              <w:right w:w="200" w:type="dxa"/>
            </w:tcMar>
          </w:tcPr>
          <w:p w14:paraId="1E448EA7" w14:textId="77777777" w:rsidR="003D03DC" w:rsidRDefault="00441E09">
            <w:pPr>
              <w:spacing w:after="60"/>
            </w:pPr>
            <w:r>
              <w:rPr>
                <w:b/>
                <w:bCs/>
                <w:color w:val="FFFFFF"/>
                <w:sz w:val="34"/>
                <w:szCs w:val="34"/>
              </w:rPr>
              <w:t>Cyclospora: What Actually Protects You</w:t>
            </w:r>
          </w:p>
          <w:p w14:paraId="47216533" w14:textId="77777777" w:rsidR="003D03DC" w:rsidRDefault="00441E09">
            <w:r>
              <w:rPr>
                <w:i/>
                <w:iCs/>
                <w:color w:val="D9E8DF"/>
                <w:sz w:val="21"/>
                <w:szCs w:val="21"/>
              </w:rPr>
              <w:t>A parasite you get from raw produce — and why washing isn't the answer</w:t>
            </w:r>
          </w:p>
        </w:tc>
      </w:tr>
    </w:tbl>
    <w:p w14:paraId="570D0633" w14:textId="77777777" w:rsidR="003D03DC" w:rsidRDefault="003D03DC">
      <w:pPr>
        <w:spacing w:after="60"/>
      </w:pPr>
    </w:p>
    <w:p w14:paraId="29B3BD4D" w14:textId="77777777" w:rsidR="003D03DC" w:rsidRDefault="00441E09">
      <w:pPr>
        <w:spacing w:after="100" w:line="264" w:lineRule="auto"/>
      </w:pPr>
      <w:r>
        <w:rPr>
          <w:color w:val="1F2937"/>
        </w:rPr>
        <w:t xml:space="preserve">Cyclospora (say: </w:t>
      </w:r>
      <w:proofErr w:type="spellStart"/>
      <w:r>
        <w:rPr>
          <w:color w:val="1F2937"/>
        </w:rPr>
        <w:t>sy</w:t>
      </w:r>
      <w:proofErr w:type="spellEnd"/>
      <w:r>
        <w:rPr>
          <w:color w:val="1F2937"/>
        </w:rPr>
        <w:t>-</w:t>
      </w:r>
      <w:proofErr w:type="spellStart"/>
      <w:r>
        <w:rPr>
          <w:color w:val="1F2937"/>
        </w:rPr>
        <w:t>clo</w:t>
      </w:r>
      <w:proofErr w:type="spellEnd"/>
      <w:r>
        <w:rPr>
          <w:color w:val="1F2937"/>
        </w:rPr>
        <w:t>-SPOR-uh) is a microscopic parasite that lives in contaminated fresh produce. Swallow just a few of them and you can end up with weeks of watery diarrhea, cramping, and exhaustion. Cases spike every spring and summer in the U.S.</w:t>
      </w:r>
    </w:p>
    <w:p w14:paraId="6F720697" w14:textId="77777777" w:rsidR="003D03DC" w:rsidRDefault="00441E09">
      <w:pPr>
        <w:spacing w:after="100" w:line="264" w:lineRule="auto"/>
      </w:pPr>
      <w:r>
        <w:rPr>
          <w:color w:val="1F2937"/>
        </w:rPr>
        <w:t>Most food safety advice you've heard — wash it well, keep it cold — does not work on this one. Here's what does.</w:t>
      </w:r>
    </w:p>
    <w:p w14:paraId="0473C3F9" w14:textId="77777777" w:rsidR="003D03DC" w:rsidRDefault="00441E09">
      <w:pPr>
        <w:pBdr>
          <w:bottom w:val="single" w:sz="6" w:space="3" w:color="D6E3DB"/>
        </w:pBdr>
        <w:spacing w:before="220" w:after="90"/>
      </w:pPr>
      <w:r>
        <w:rPr>
          <w:b/>
          <w:bCs/>
          <w:smallCaps/>
          <w:color w:val="2E6B4F"/>
          <w:sz w:val="24"/>
          <w:szCs w:val="24"/>
        </w:rPr>
        <w:t>GOOD HABITS THAT WON’T SAVE YOU HERE</w:t>
      </w:r>
    </w:p>
    <w:p w14:paraId="6831D756" w14:textId="77777777" w:rsidR="003D03DC" w:rsidRDefault="00441E09">
      <w:pPr>
        <w:spacing w:after="120"/>
      </w:pPr>
      <w:r>
        <w:rPr>
          <w:color w:val="1F2937"/>
        </w:rPr>
        <w:t xml:space="preserve">Wash your produce. Refrigerate your leftovers. These are real food safety practices and CDC recommends them </w:t>
      </w:r>
      <w:proofErr w:type="gramStart"/>
      <w:r>
        <w:rPr>
          <w:color w:val="1F2937"/>
        </w:rPr>
        <w:t>— they protect</w:t>
      </w:r>
      <w:proofErr w:type="gramEnd"/>
      <w:r>
        <w:rPr>
          <w:color w:val="1F2937"/>
        </w:rPr>
        <w:t xml:space="preserve"> you from a long list of germs. But it’s worth being clear-eyed about what they do and don’t do against this </w:t>
      </w:r>
      <w:proofErr w:type="gramStart"/>
      <w:r>
        <w:rPr>
          <w:color w:val="1F2937"/>
        </w:rPr>
        <w:t>particular parasite</w:t>
      </w:r>
      <w:proofErr w:type="gramEnd"/>
      <w:r>
        <w:rPr>
          <w:color w:val="1F2937"/>
        </w:rPr>
        <w:t>.</w:t>
      </w:r>
    </w:p>
    <w:tbl>
      <w:tblPr>
        <w:tblStyle w:val="a0"/>
        <w:tblW w:w="10080" w:type="dxa"/>
        <w:tblInd w:w="0" w:type="dxa"/>
        <w:tblBorders>
          <w:top w:val="single" w:sz="4" w:space="0" w:color="FDF0EF"/>
          <w:left w:val="single" w:sz="18" w:space="0" w:color="B3261E"/>
          <w:bottom w:val="single" w:sz="4" w:space="0" w:color="FDF0EF"/>
          <w:right w:val="single" w:sz="4" w:space="0" w:color="FDF0EF"/>
          <w:insideH w:val="nil"/>
          <w:insideV w:val="nil"/>
        </w:tblBorders>
        <w:tblLayout w:type="fixed"/>
        <w:tblLook w:val="0000" w:firstRow="0" w:lastRow="0" w:firstColumn="0" w:lastColumn="0" w:noHBand="0" w:noVBand="0"/>
      </w:tblPr>
      <w:tblGrid>
        <w:gridCol w:w="10080"/>
      </w:tblGrid>
      <w:tr w:rsidR="003D03DC" w14:paraId="3F55D31C" w14:textId="77777777">
        <w:tc>
          <w:tcPr>
            <w:tcW w:w="10080" w:type="dxa"/>
            <w:shd w:val="clear" w:color="auto" w:fill="FDF0EF"/>
            <w:tcMar>
              <w:top w:w="120" w:type="dxa"/>
              <w:left w:w="160" w:type="dxa"/>
              <w:bottom w:w="120" w:type="dxa"/>
              <w:right w:w="160" w:type="dxa"/>
            </w:tcMar>
          </w:tcPr>
          <w:p w14:paraId="5B1EDAB4" w14:textId="77777777" w:rsidR="003D03DC" w:rsidRDefault="00441E09">
            <w:pPr>
              <w:spacing w:after="60"/>
            </w:pPr>
            <w:r>
              <w:rPr>
                <w:b/>
                <w:bCs/>
                <w:color w:val="B3261E"/>
                <w:sz w:val="21"/>
                <w:szCs w:val="21"/>
              </w:rPr>
              <w:t>✕</w:t>
            </w:r>
            <w:r>
              <w:rPr>
                <w:b/>
                <w:bCs/>
                <w:color w:val="B3261E"/>
                <w:sz w:val="21"/>
                <w:szCs w:val="21"/>
              </w:rPr>
              <w:t xml:space="preserve">  “If I rinse it really well, I’m fine.”</w:t>
            </w:r>
          </w:p>
          <w:p w14:paraId="49B90AC6" w14:textId="77777777" w:rsidR="003D03DC" w:rsidRDefault="00441E09">
            <w:pPr>
              <w:spacing w:after="50" w:line="264" w:lineRule="auto"/>
            </w:pPr>
            <w:r>
              <w:rPr>
                <w:b/>
                <w:bCs/>
                <w:color w:val="1F2937"/>
              </w:rPr>
              <w:t xml:space="preserve">Washing does not reliably remove Cyclospora. </w:t>
            </w:r>
            <w:r>
              <w:rPr>
                <w:color w:val="1F2937"/>
              </w:rPr>
              <w:t>The parasite is wrapped in a tough shell called an oocyst that grips into microscopic crevices on leaves and skins. CDC notes that routine chemical disinfection or sanitizing is unlikely to kill it — and commercial produce washes, vinegar soaks, and chlorine rinses don’t solve it either.</w:t>
            </w:r>
          </w:p>
          <w:p w14:paraId="5ADF3089" w14:textId="77777777" w:rsidR="003D03DC" w:rsidRDefault="00441E09">
            <w:pPr>
              <w:spacing w:after="50" w:line="264" w:lineRule="auto"/>
            </w:pPr>
            <w:r>
              <w:rPr>
                <w:i/>
                <w:iCs/>
                <w:color w:val="6B7280"/>
              </w:rPr>
              <w:t>Keep washing your produce. Just don’t treat a good rinse as a force field.</w:t>
            </w:r>
          </w:p>
        </w:tc>
      </w:tr>
    </w:tbl>
    <w:p w14:paraId="5A909CC2" w14:textId="77777777" w:rsidR="003D03DC" w:rsidRDefault="003D03DC">
      <w:pPr>
        <w:spacing w:after="60"/>
      </w:pPr>
    </w:p>
    <w:tbl>
      <w:tblPr>
        <w:tblStyle w:val="a1"/>
        <w:tblW w:w="10080" w:type="dxa"/>
        <w:tblInd w:w="0" w:type="dxa"/>
        <w:tblBorders>
          <w:top w:val="single" w:sz="4" w:space="0" w:color="FDF0EF"/>
          <w:left w:val="single" w:sz="18" w:space="0" w:color="B3261E"/>
          <w:bottom w:val="single" w:sz="4" w:space="0" w:color="FDF0EF"/>
          <w:right w:val="single" w:sz="4" w:space="0" w:color="FDF0EF"/>
          <w:insideH w:val="nil"/>
          <w:insideV w:val="nil"/>
        </w:tblBorders>
        <w:tblLayout w:type="fixed"/>
        <w:tblLook w:val="0000" w:firstRow="0" w:lastRow="0" w:firstColumn="0" w:lastColumn="0" w:noHBand="0" w:noVBand="0"/>
      </w:tblPr>
      <w:tblGrid>
        <w:gridCol w:w="10080"/>
      </w:tblGrid>
      <w:tr w:rsidR="003D03DC" w14:paraId="41C2CCA1" w14:textId="77777777">
        <w:tc>
          <w:tcPr>
            <w:tcW w:w="10080" w:type="dxa"/>
            <w:shd w:val="clear" w:color="auto" w:fill="FDF0EF"/>
            <w:tcMar>
              <w:top w:w="120" w:type="dxa"/>
              <w:left w:w="160" w:type="dxa"/>
              <w:bottom w:w="120" w:type="dxa"/>
              <w:right w:w="160" w:type="dxa"/>
            </w:tcMar>
          </w:tcPr>
          <w:p w14:paraId="78DA922B" w14:textId="77777777" w:rsidR="003D03DC" w:rsidRDefault="00441E09">
            <w:pPr>
              <w:spacing w:after="60"/>
            </w:pPr>
            <w:r>
              <w:rPr>
                <w:b/>
                <w:bCs/>
                <w:color w:val="B3261E"/>
                <w:sz w:val="21"/>
                <w:szCs w:val="21"/>
              </w:rPr>
              <w:t>✕</w:t>
            </w:r>
            <w:r>
              <w:rPr>
                <w:b/>
                <w:bCs/>
                <w:color w:val="B3261E"/>
                <w:sz w:val="21"/>
                <w:szCs w:val="21"/>
              </w:rPr>
              <w:t xml:space="preserve">  “Keep it cold and it can’t get worse.”</w:t>
            </w:r>
          </w:p>
          <w:p w14:paraId="742677B3" w14:textId="77777777" w:rsidR="003D03DC" w:rsidRDefault="00441E09">
            <w:pPr>
              <w:spacing w:after="50" w:line="264" w:lineRule="auto"/>
            </w:pPr>
            <w:r>
              <w:rPr>
                <w:b/>
                <w:bCs/>
                <w:color w:val="1F2937"/>
              </w:rPr>
              <w:t xml:space="preserve">That’s bacteria logic, not parasite logic. </w:t>
            </w:r>
            <w:r>
              <w:rPr>
                <w:color w:val="1F2937"/>
              </w:rPr>
              <w:t>Cyclospora doesn’t multiply in food the way Salmonella does, so time on the counter doesn’t make produce “more contaminated” with it. Chilling and freezing don’t kill it either.</w:t>
            </w:r>
          </w:p>
          <w:p w14:paraId="02CB0671" w14:textId="77777777" w:rsidR="003D03DC" w:rsidRDefault="00441E09">
            <w:pPr>
              <w:spacing w:after="50" w:line="264" w:lineRule="auto"/>
            </w:pPr>
            <w:r>
              <w:rPr>
                <w:i/>
                <w:iCs/>
                <w:color w:val="6B7280"/>
              </w:rPr>
              <w:t>Still refrigerate cut produce within two hours, as CDC advises — it matters for other pathogens. It just isn’t the lever that stops Cyclospora.</w:t>
            </w:r>
          </w:p>
        </w:tc>
      </w:tr>
    </w:tbl>
    <w:p w14:paraId="69312371" w14:textId="77777777" w:rsidR="003D03DC" w:rsidRDefault="003D03DC">
      <w:pPr>
        <w:spacing w:after="60"/>
      </w:pPr>
    </w:p>
    <w:tbl>
      <w:tblPr>
        <w:tblStyle w:val="a2"/>
        <w:tblW w:w="10080" w:type="dxa"/>
        <w:tblInd w:w="0" w:type="dxa"/>
        <w:tblBorders>
          <w:top w:val="single" w:sz="4" w:space="0" w:color="FDF0EF"/>
          <w:left w:val="single" w:sz="18" w:space="0" w:color="B3261E"/>
          <w:bottom w:val="single" w:sz="4" w:space="0" w:color="FDF0EF"/>
          <w:right w:val="single" w:sz="4" w:space="0" w:color="FDF0EF"/>
          <w:insideH w:val="nil"/>
          <w:insideV w:val="nil"/>
        </w:tblBorders>
        <w:tblLayout w:type="fixed"/>
        <w:tblLook w:val="0000" w:firstRow="0" w:lastRow="0" w:firstColumn="0" w:lastColumn="0" w:noHBand="0" w:noVBand="0"/>
      </w:tblPr>
      <w:tblGrid>
        <w:gridCol w:w="10080"/>
      </w:tblGrid>
      <w:tr w:rsidR="003D03DC" w14:paraId="146C1B29" w14:textId="77777777">
        <w:tc>
          <w:tcPr>
            <w:tcW w:w="10080" w:type="dxa"/>
            <w:shd w:val="clear" w:color="auto" w:fill="FDF0EF"/>
            <w:tcMar>
              <w:top w:w="120" w:type="dxa"/>
              <w:left w:w="160" w:type="dxa"/>
              <w:bottom w:w="120" w:type="dxa"/>
              <w:right w:w="160" w:type="dxa"/>
            </w:tcMar>
          </w:tcPr>
          <w:p w14:paraId="1D298690" w14:textId="77777777" w:rsidR="003D03DC" w:rsidRDefault="00441E09">
            <w:pPr>
              <w:spacing w:after="60"/>
            </w:pPr>
            <w:r>
              <w:rPr>
                <w:b/>
                <w:bCs/>
                <w:color w:val="B3261E"/>
                <w:sz w:val="21"/>
                <w:szCs w:val="21"/>
              </w:rPr>
              <w:t>✕</w:t>
            </w:r>
            <w:r>
              <w:rPr>
                <w:b/>
                <w:bCs/>
                <w:color w:val="B3261E"/>
                <w:sz w:val="21"/>
                <w:szCs w:val="21"/>
              </w:rPr>
              <w:t xml:space="preserve">  “I’ll catch it from my sick family member.”</w:t>
            </w:r>
          </w:p>
          <w:p w14:paraId="5D1BF3FD" w14:textId="77777777" w:rsidR="003D03DC" w:rsidRDefault="00441E09">
            <w:pPr>
              <w:spacing w:after="50" w:line="264" w:lineRule="auto"/>
            </w:pPr>
            <w:r>
              <w:rPr>
                <w:b/>
                <w:bCs/>
                <w:color w:val="1F2937"/>
              </w:rPr>
              <w:t xml:space="preserve">You won’t — not directly. </w:t>
            </w:r>
            <w:r>
              <w:rPr>
                <w:color w:val="1F2937"/>
              </w:rPr>
              <w:t>The parasite needs days to weeks outside the body before it becomes infectious, so it is not passed person-to-person like norovirus. It comes from contaminated food or water.</w:t>
            </w:r>
          </w:p>
        </w:tc>
      </w:tr>
    </w:tbl>
    <w:p w14:paraId="125ABD1A" w14:textId="77777777" w:rsidR="003D03DC" w:rsidRDefault="00441E09">
      <w:pPr>
        <w:pBdr>
          <w:bottom w:val="single" w:sz="6" w:space="3" w:color="D6E3DB"/>
        </w:pBdr>
        <w:spacing w:before="220" w:after="90"/>
      </w:pPr>
      <w:r>
        <w:rPr>
          <w:b/>
          <w:bCs/>
          <w:smallCaps/>
          <w:color w:val="2E6B4F"/>
          <w:sz w:val="24"/>
          <w:szCs w:val="24"/>
        </w:rPr>
        <w:t>WHAT ACTUALLY WORKS</w:t>
      </w:r>
    </w:p>
    <w:tbl>
      <w:tblPr>
        <w:tblStyle w:val="a3"/>
        <w:tblW w:w="10080" w:type="dxa"/>
        <w:tblInd w:w="0" w:type="dxa"/>
        <w:tblBorders>
          <w:top w:val="single" w:sz="4" w:space="0" w:color="EDF5F0"/>
          <w:left w:val="single" w:sz="18" w:space="0" w:color="2E6B4F"/>
          <w:bottom w:val="single" w:sz="4" w:space="0" w:color="EDF5F0"/>
          <w:right w:val="single" w:sz="4" w:space="0" w:color="EDF5F0"/>
          <w:insideH w:val="nil"/>
          <w:insideV w:val="nil"/>
        </w:tblBorders>
        <w:tblLayout w:type="fixed"/>
        <w:tblLook w:val="0000" w:firstRow="0" w:lastRow="0" w:firstColumn="0" w:lastColumn="0" w:noHBand="0" w:noVBand="0"/>
      </w:tblPr>
      <w:tblGrid>
        <w:gridCol w:w="10080"/>
      </w:tblGrid>
      <w:tr w:rsidR="003D03DC" w14:paraId="28749342" w14:textId="77777777">
        <w:tc>
          <w:tcPr>
            <w:tcW w:w="10080" w:type="dxa"/>
            <w:shd w:val="clear" w:color="auto" w:fill="EDF5F0"/>
            <w:tcMar>
              <w:top w:w="120" w:type="dxa"/>
              <w:left w:w="160" w:type="dxa"/>
              <w:bottom w:w="120" w:type="dxa"/>
              <w:right w:w="160" w:type="dxa"/>
            </w:tcMar>
          </w:tcPr>
          <w:p w14:paraId="3E1553AE" w14:textId="77777777" w:rsidR="003D03DC" w:rsidRDefault="00441E09">
            <w:pPr>
              <w:spacing w:after="60"/>
            </w:pPr>
            <w:r>
              <w:rPr>
                <w:b/>
                <w:bCs/>
                <w:color w:val="2E6B4F"/>
                <w:sz w:val="21"/>
                <w:szCs w:val="21"/>
              </w:rPr>
              <w:t>✓</w:t>
            </w:r>
            <w:r>
              <w:rPr>
                <w:b/>
                <w:bCs/>
                <w:color w:val="2E6B4F"/>
                <w:sz w:val="21"/>
                <w:szCs w:val="21"/>
              </w:rPr>
              <w:t xml:space="preserve">  HEAT IS THE ONLY RELIABLE KILL STEP</w:t>
            </w:r>
          </w:p>
          <w:p w14:paraId="53380DC1" w14:textId="77777777" w:rsidR="003D03DC" w:rsidRDefault="00441E09">
            <w:pPr>
              <w:spacing w:after="50" w:line="264" w:lineRule="auto"/>
            </w:pPr>
            <w:r>
              <w:rPr>
                <w:b/>
                <w:bCs/>
                <w:color w:val="1F2937"/>
              </w:rPr>
              <w:t xml:space="preserve">Cooking, boiling, or blanching breaks down the oocyst wall. </w:t>
            </w:r>
            <w:r>
              <w:rPr>
                <w:color w:val="1F2937"/>
              </w:rPr>
              <w:t xml:space="preserve">That is why nearly every Cyclospora outbreak traces back to something eaten raw. If you are </w:t>
            </w:r>
            <w:proofErr w:type="gramStart"/>
            <w:r>
              <w:rPr>
                <w:color w:val="1F2937"/>
              </w:rPr>
              <w:t>in</w:t>
            </w:r>
            <w:proofErr w:type="gramEnd"/>
            <w:r>
              <w:rPr>
                <w:color w:val="1F2937"/>
              </w:rPr>
              <w:t xml:space="preserve"> a high-risk moment — an active outbreak, or you’re immunocompromised — cooking the produce is the protective choice.</w:t>
            </w:r>
          </w:p>
        </w:tc>
      </w:tr>
    </w:tbl>
    <w:p w14:paraId="1B422545" w14:textId="77777777" w:rsidR="003D03DC" w:rsidRDefault="003D03DC">
      <w:pPr>
        <w:spacing w:after="80"/>
      </w:pPr>
    </w:p>
    <w:p w14:paraId="539C76D2" w14:textId="77777777" w:rsidR="003D03DC" w:rsidRDefault="00441E09">
      <w:pPr>
        <w:spacing w:after="90"/>
      </w:pPr>
      <w:r>
        <w:rPr>
          <w:color w:val="1F2937"/>
        </w:rPr>
        <w:t>Beyond heat, your protection comes from knowing what to watch and when:</w:t>
      </w:r>
    </w:p>
    <w:p w14:paraId="34873D51" w14:textId="77777777" w:rsidR="003D03DC" w:rsidRDefault="00441E09">
      <w:pPr>
        <w:numPr>
          <w:ilvl w:val="0"/>
          <w:numId w:val="1"/>
        </w:numPr>
        <w:pBdr>
          <w:top w:val="nil"/>
          <w:left w:val="nil"/>
          <w:bottom w:val="nil"/>
          <w:right w:val="nil"/>
          <w:between w:val="nil"/>
        </w:pBdr>
        <w:spacing w:after="70" w:line="264" w:lineRule="auto"/>
      </w:pPr>
      <w:r>
        <w:rPr>
          <w:b/>
          <w:bCs/>
          <w:color w:val="1F2937"/>
        </w:rPr>
        <w:t xml:space="preserve">Know the usual suspects. </w:t>
      </w:r>
      <w:r>
        <w:rPr>
          <w:color w:val="1F2937"/>
        </w:rPr>
        <w:t xml:space="preserve">Outbreaks repeatedly involve fresh cilantro, basil, salad and lettuce blends, spinach, berries, and snow/snap peas — especially imported </w:t>
      </w:r>
      <w:proofErr w:type="gramStart"/>
      <w:r>
        <w:rPr>
          <w:color w:val="1F2937"/>
        </w:rPr>
        <w:t>product</w:t>
      </w:r>
      <w:proofErr w:type="gramEnd"/>
      <w:r>
        <w:rPr>
          <w:color w:val="1F2937"/>
        </w:rPr>
        <w:t xml:space="preserve"> in spring and summer.</w:t>
      </w:r>
    </w:p>
    <w:p w14:paraId="43481CE6" w14:textId="77777777" w:rsidR="003D03DC" w:rsidRDefault="00441E09">
      <w:pPr>
        <w:numPr>
          <w:ilvl w:val="0"/>
          <w:numId w:val="1"/>
        </w:numPr>
        <w:pBdr>
          <w:top w:val="nil"/>
          <w:left w:val="nil"/>
          <w:bottom w:val="nil"/>
          <w:right w:val="nil"/>
          <w:between w:val="nil"/>
        </w:pBdr>
        <w:spacing w:after="70" w:line="264" w:lineRule="auto"/>
      </w:pPr>
      <w:r>
        <w:rPr>
          <w:b/>
          <w:bCs/>
          <w:color w:val="1F2937"/>
        </w:rPr>
        <w:t xml:space="preserve">Check your state health department. </w:t>
      </w:r>
      <w:r>
        <w:rPr>
          <w:color w:val="1F2937"/>
        </w:rPr>
        <w:t>Search “[your state] health department cyclospora” or visit cdc.gov/cyclosporiasis. During an active outbreak they name the food and the region — that’s far more useful than any washing tip.</w:t>
      </w:r>
    </w:p>
    <w:p w14:paraId="4089808A" w14:textId="77777777" w:rsidR="003D03DC" w:rsidRDefault="00441E09">
      <w:pPr>
        <w:numPr>
          <w:ilvl w:val="0"/>
          <w:numId w:val="1"/>
        </w:numPr>
        <w:pBdr>
          <w:top w:val="nil"/>
          <w:left w:val="nil"/>
          <w:bottom w:val="nil"/>
          <w:right w:val="nil"/>
          <w:between w:val="nil"/>
        </w:pBdr>
        <w:spacing w:after="70" w:line="264" w:lineRule="auto"/>
      </w:pPr>
      <w:r>
        <w:rPr>
          <w:b/>
          <w:bCs/>
          <w:color w:val="1F2937"/>
        </w:rPr>
        <w:t xml:space="preserve">Follow recalls and alerts. </w:t>
      </w:r>
      <w:r>
        <w:rPr>
          <w:color w:val="1F2937"/>
        </w:rPr>
        <w:t>Sign up for FDA and USDA recall alerts at foodsafety.gov. If a product you have is named, throw it out — do not try to wash it clean.</w:t>
      </w:r>
    </w:p>
    <w:p w14:paraId="761517EE" w14:textId="77777777" w:rsidR="003D03DC" w:rsidRDefault="00441E09">
      <w:pPr>
        <w:numPr>
          <w:ilvl w:val="0"/>
          <w:numId w:val="1"/>
        </w:numPr>
        <w:pBdr>
          <w:top w:val="nil"/>
          <w:left w:val="nil"/>
          <w:bottom w:val="nil"/>
          <w:right w:val="nil"/>
          <w:between w:val="nil"/>
        </w:pBdr>
        <w:spacing w:after="70" w:line="264" w:lineRule="auto"/>
      </w:pPr>
      <w:r>
        <w:rPr>
          <w:b/>
          <w:bCs/>
          <w:color w:val="1F2937"/>
        </w:rPr>
        <w:t xml:space="preserve">Be extra careful when traveling. </w:t>
      </w:r>
      <w:r>
        <w:rPr>
          <w:color w:val="1F2937"/>
        </w:rPr>
        <w:t>In tropical and subtropical regions where Cyclospora is common, stick to cooked food and treated or bottled water. Chemical treatment of water will not kill this parasite.</w:t>
      </w:r>
    </w:p>
    <w:p w14:paraId="2243F196" w14:textId="77777777" w:rsidR="003D03DC" w:rsidRDefault="00441E09">
      <w:pPr>
        <w:numPr>
          <w:ilvl w:val="0"/>
          <w:numId w:val="1"/>
        </w:numPr>
        <w:pBdr>
          <w:top w:val="nil"/>
          <w:left w:val="nil"/>
          <w:bottom w:val="nil"/>
          <w:right w:val="nil"/>
          <w:between w:val="nil"/>
        </w:pBdr>
        <w:spacing w:after="70" w:line="264" w:lineRule="auto"/>
      </w:pPr>
      <w:r>
        <w:rPr>
          <w:b/>
          <w:bCs/>
          <w:color w:val="1F2937"/>
        </w:rPr>
        <w:t xml:space="preserve">Keep up basic produce hygiene anyway. </w:t>
      </w:r>
      <w:r>
        <w:rPr>
          <w:color w:val="1F2937"/>
        </w:rPr>
        <w:t xml:space="preserve">CDC’s standing advice: wash hands with soap before and after handling produce; rinse fruits and vegetables under running water; scrub firm items like melons with a clean brush; cut away bruised spots; </w:t>
      </w:r>
      <w:proofErr w:type="gramStart"/>
      <w:r>
        <w:rPr>
          <w:color w:val="1F2937"/>
        </w:rPr>
        <w:t>refrigerate cut</w:t>
      </w:r>
      <w:proofErr w:type="gramEnd"/>
      <w:r>
        <w:rPr>
          <w:color w:val="1F2937"/>
        </w:rPr>
        <w:t xml:space="preserve"> produce within two hours. Worth doing — for everything else out there.</w:t>
      </w:r>
    </w:p>
    <w:p w14:paraId="2397BF2A" w14:textId="77777777" w:rsidR="003D03DC" w:rsidRDefault="00441E09">
      <w:pPr>
        <w:pBdr>
          <w:bottom w:val="single" w:sz="6" w:space="3" w:color="D6E3DB"/>
        </w:pBdr>
        <w:spacing w:before="220" w:after="90"/>
      </w:pPr>
      <w:r>
        <w:rPr>
          <w:b/>
          <w:bCs/>
          <w:smallCaps/>
          <w:color w:val="2E6B4F"/>
          <w:sz w:val="24"/>
          <w:szCs w:val="24"/>
        </w:rPr>
        <w:t>ITEM BY ITEM: HANDLING THE RISKIEST PRODUCE</w:t>
      </w:r>
    </w:p>
    <w:p w14:paraId="0F8D8687" w14:textId="77777777" w:rsidR="003D03DC" w:rsidRDefault="00441E09">
      <w:pPr>
        <w:spacing w:after="120"/>
      </w:pPr>
      <w:r>
        <w:rPr>
          <w:color w:val="1F2937"/>
        </w:rPr>
        <w:t>During the current outbreak, Michigan’s health department went further than any federal guidance and issued item-by-item instructions for kitchens handling raw produce. It’s the most practical advice available anywhere right now — and it applies no matter what state you’re in.</w:t>
      </w:r>
    </w:p>
    <w:tbl>
      <w:tblPr>
        <w:tblStyle w:val="a4"/>
        <w:tblW w:w="10080" w:type="dxa"/>
        <w:tblInd w:w="0" w:type="dxa"/>
        <w:tblBorders>
          <w:top w:val="nil"/>
          <w:left w:val="nil"/>
          <w:bottom w:val="single" w:sz="4" w:space="0" w:color="E4EBE7"/>
          <w:right w:val="nil"/>
          <w:insideH w:val="nil"/>
          <w:insideV w:val="nil"/>
        </w:tblBorders>
        <w:tblLayout w:type="fixed"/>
        <w:tblLook w:val="0000" w:firstRow="0" w:lastRow="0" w:firstColumn="0" w:lastColumn="0" w:noHBand="0" w:noVBand="0"/>
      </w:tblPr>
      <w:tblGrid>
        <w:gridCol w:w="2400"/>
        <w:gridCol w:w="7680"/>
      </w:tblGrid>
      <w:tr w:rsidR="003D03DC" w14:paraId="499CD7D4" w14:textId="77777777">
        <w:tc>
          <w:tcPr>
            <w:tcW w:w="2400" w:type="dxa"/>
            <w:tcMar>
              <w:top w:w="90" w:type="dxa"/>
              <w:left w:w="60" w:type="dxa"/>
              <w:bottom w:w="90" w:type="dxa"/>
              <w:right w:w="120" w:type="dxa"/>
            </w:tcMar>
          </w:tcPr>
          <w:p w14:paraId="436E9B78" w14:textId="77777777" w:rsidR="003D03DC" w:rsidRDefault="00441E09">
            <w:pPr>
              <w:spacing w:line="264" w:lineRule="auto"/>
            </w:pPr>
            <w:r>
              <w:rPr>
                <w:b/>
                <w:bCs/>
                <w:color w:val="2E6B4F"/>
              </w:rPr>
              <w:t>Lettuce &amp; leafy greens</w:t>
            </w:r>
          </w:p>
        </w:tc>
        <w:tc>
          <w:tcPr>
            <w:tcW w:w="7680" w:type="dxa"/>
            <w:tcMar>
              <w:top w:w="90" w:type="dxa"/>
              <w:left w:w="0" w:type="dxa"/>
              <w:bottom w:w="90" w:type="dxa"/>
              <w:right w:w="60" w:type="dxa"/>
            </w:tcMar>
          </w:tcPr>
          <w:p w14:paraId="054F2DCD" w14:textId="77777777" w:rsidR="003D03DC" w:rsidRDefault="00441E09">
            <w:pPr>
              <w:spacing w:line="264" w:lineRule="auto"/>
            </w:pPr>
            <w:r>
              <w:rPr>
                <w:color w:val="1F2937"/>
              </w:rPr>
              <w:t>Buy whole heads instead of prewashed bagged lettuce or salad mixes. Throw away the outer two to three layers of leaves, then wash the inner leaves under running water.</w:t>
            </w:r>
          </w:p>
        </w:tc>
      </w:tr>
      <w:tr w:rsidR="003D03DC" w14:paraId="3782DF72" w14:textId="77777777">
        <w:tc>
          <w:tcPr>
            <w:tcW w:w="2400" w:type="dxa"/>
            <w:tcMar>
              <w:top w:w="90" w:type="dxa"/>
              <w:left w:w="60" w:type="dxa"/>
              <w:bottom w:w="90" w:type="dxa"/>
              <w:right w:w="120" w:type="dxa"/>
            </w:tcMar>
          </w:tcPr>
          <w:p w14:paraId="2110CF5C" w14:textId="77777777" w:rsidR="003D03DC" w:rsidRDefault="00441E09">
            <w:pPr>
              <w:spacing w:line="264" w:lineRule="auto"/>
            </w:pPr>
            <w:r>
              <w:rPr>
                <w:b/>
                <w:bCs/>
                <w:color w:val="2E6B4F"/>
              </w:rPr>
              <w:t>Cilantro &amp; basil</w:t>
            </w:r>
          </w:p>
        </w:tc>
        <w:tc>
          <w:tcPr>
            <w:tcW w:w="7680" w:type="dxa"/>
            <w:tcMar>
              <w:top w:w="90" w:type="dxa"/>
              <w:left w:w="0" w:type="dxa"/>
              <w:bottom w:w="90" w:type="dxa"/>
              <w:right w:w="60" w:type="dxa"/>
            </w:tcMar>
          </w:tcPr>
          <w:p w14:paraId="1CEFD31E" w14:textId="77777777" w:rsidR="003D03DC" w:rsidRDefault="00441E09">
            <w:pPr>
              <w:spacing w:line="264" w:lineRule="auto"/>
            </w:pPr>
            <w:r>
              <w:rPr>
                <w:color w:val="1F2937"/>
              </w:rPr>
              <w:t>Separate the leaves and wash thoroughly under running water. These show up in outbreak after outbreak.</w:t>
            </w:r>
          </w:p>
        </w:tc>
      </w:tr>
      <w:tr w:rsidR="003D03DC" w14:paraId="5AD3DAE6" w14:textId="77777777">
        <w:tc>
          <w:tcPr>
            <w:tcW w:w="2400" w:type="dxa"/>
            <w:tcMar>
              <w:top w:w="90" w:type="dxa"/>
              <w:left w:w="60" w:type="dxa"/>
              <w:bottom w:w="90" w:type="dxa"/>
              <w:right w:w="120" w:type="dxa"/>
            </w:tcMar>
          </w:tcPr>
          <w:p w14:paraId="32C2DF13" w14:textId="77777777" w:rsidR="003D03DC" w:rsidRDefault="00441E09">
            <w:pPr>
              <w:spacing w:line="264" w:lineRule="auto"/>
            </w:pPr>
            <w:r>
              <w:rPr>
                <w:b/>
                <w:bCs/>
                <w:color w:val="2E6B4F"/>
              </w:rPr>
              <w:t>Green onions</w:t>
            </w:r>
          </w:p>
        </w:tc>
        <w:tc>
          <w:tcPr>
            <w:tcW w:w="7680" w:type="dxa"/>
            <w:tcMar>
              <w:top w:w="90" w:type="dxa"/>
              <w:left w:w="0" w:type="dxa"/>
              <w:bottom w:w="90" w:type="dxa"/>
              <w:right w:w="60" w:type="dxa"/>
            </w:tcMar>
          </w:tcPr>
          <w:p w14:paraId="78F49A64" w14:textId="77777777" w:rsidR="003D03DC" w:rsidRDefault="00441E09">
            <w:pPr>
              <w:spacing w:line="264" w:lineRule="auto"/>
            </w:pPr>
            <w:r>
              <w:rPr>
                <w:color w:val="1F2937"/>
              </w:rPr>
              <w:t>Trim the root end, remove the outer layer, then wash thoroughly under running water.</w:t>
            </w:r>
          </w:p>
        </w:tc>
      </w:tr>
      <w:tr w:rsidR="003D03DC" w14:paraId="36EF7906" w14:textId="77777777">
        <w:tc>
          <w:tcPr>
            <w:tcW w:w="2400" w:type="dxa"/>
            <w:tcMar>
              <w:top w:w="90" w:type="dxa"/>
              <w:left w:w="60" w:type="dxa"/>
              <w:bottom w:w="90" w:type="dxa"/>
              <w:right w:w="120" w:type="dxa"/>
            </w:tcMar>
          </w:tcPr>
          <w:p w14:paraId="0C818B0A" w14:textId="77777777" w:rsidR="003D03DC" w:rsidRDefault="00441E09">
            <w:pPr>
              <w:spacing w:line="264" w:lineRule="auto"/>
            </w:pPr>
            <w:r>
              <w:rPr>
                <w:b/>
                <w:bCs/>
                <w:color w:val="2E6B4F"/>
              </w:rPr>
              <w:t>Raspberries</w:t>
            </w:r>
          </w:p>
        </w:tc>
        <w:tc>
          <w:tcPr>
            <w:tcW w:w="7680" w:type="dxa"/>
            <w:tcMar>
              <w:top w:w="90" w:type="dxa"/>
              <w:left w:w="0" w:type="dxa"/>
              <w:bottom w:w="90" w:type="dxa"/>
              <w:right w:w="60" w:type="dxa"/>
            </w:tcMar>
          </w:tcPr>
          <w:p w14:paraId="60BFBE2C" w14:textId="77777777" w:rsidR="003D03DC" w:rsidRDefault="00441E09">
            <w:pPr>
              <w:spacing w:line="264" w:lineRule="auto"/>
            </w:pPr>
            <w:r>
              <w:rPr>
                <w:color w:val="1F2937"/>
              </w:rPr>
              <w:t>The hardest one. That bumpy surface is nearly impossible to clean — the parasite hides in the tiny crevices. Cooked (pies, jams) or frozen is safer. Note: freezing may reduce but does not eliminate it.</w:t>
            </w:r>
          </w:p>
        </w:tc>
      </w:tr>
      <w:tr w:rsidR="003D03DC" w14:paraId="5A256DF7" w14:textId="77777777">
        <w:tc>
          <w:tcPr>
            <w:tcW w:w="2400" w:type="dxa"/>
            <w:tcMar>
              <w:top w:w="90" w:type="dxa"/>
              <w:left w:w="60" w:type="dxa"/>
              <w:bottom w:w="90" w:type="dxa"/>
              <w:right w:w="120" w:type="dxa"/>
            </w:tcMar>
          </w:tcPr>
          <w:p w14:paraId="1C02A942" w14:textId="77777777" w:rsidR="003D03DC" w:rsidRDefault="00441E09">
            <w:pPr>
              <w:spacing w:line="264" w:lineRule="auto"/>
            </w:pPr>
            <w:r>
              <w:rPr>
                <w:b/>
                <w:bCs/>
                <w:color w:val="2E6B4F"/>
              </w:rPr>
              <w:t>Snow &amp; snap peas</w:t>
            </w:r>
          </w:p>
        </w:tc>
        <w:tc>
          <w:tcPr>
            <w:tcW w:w="7680" w:type="dxa"/>
            <w:tcMar>
              <w:top w:w="90" w:type="dxa"/>
              <w:left w:w="0" w:type="dxa"/>
              <w:bottom w:w="90" w:type="dxa"/>
              <w:right w:w="60" w:type="dxa"/>
            </w:tcMar>
          </w:tcPr>
          <w:p w14:paraId="2D2406CB" w14:textId="77777777" w:rsidR="003D03DC" w:rsidRDefault="00441E09">
            <w:pPr>
              <w:spacing w:line="264" w:lineRule="auto"/>
            </w:pPr>
            <w:r>
              <w:rPr>
                <w:color w:val="1F2937"/>
              </w:rPr>
              <w:t>Wash under running water while rubbing the surface with your fingers.</w:t>
            </w:r>
          </w:p>
        </w:tc>
      </w:tr>
    </w:tbl>
    <w:p w14:paraId="68F87CDC" w14:textId="77777777" w:rsidR="003D03DC" w:rsidRDefault="003D03DC">
      <w:pPr>
        <w:spacing w:after="80"/>
      </w:pPr>
    </w:p>
    <w:tbl>
      <w:tblPr>
        <w:tblStyle w:val="a5"/>
        <w:tblW w:w="10080" w:type="dxa"/>
        <w:tblInd w:w="0" w:type="dxa"/>
        <w:tblBorders>
          <w:top w:val="single" w:sz="4" w:space="0" w:color="EDF5F0"/>
          <w:left w:val="single" w:sz="18" w:space="0" w:color="2E6B4F"/>
          <w:bottom w:val="single" w:sz="4" w:space="0" w:color="EDF5F0"/>
          <w:right w:val="single" w:sz="4" w:space="0" w:color="EDF5F0"/>
          <w:insideH w:val="nil"/>
          <w:insideV w:val="nil"/>
        </w:tblBorders>
        <w:tblLayout w:type="fixed"/>
        <w:tblLook w:val="0000" w:firstRow="0" w:lastRow="0" w:firstColumn="0" w:lastColumn="0" w:noHBand="0" w:noVBand="0"/>
      </w:tblPr>
      <w:tblGrid>
        <w:gridCol w:w="10080"/>
      </w:tblGrid>
      <w:tr w:rsidR="003D03DC" w14:paraId="2709ED7C" w14:textId="77777777">
        <w:tc>
          <w:tcPr>
            <w:tcW w:w="10080" w:type="dxa"/>
            <w:shd w:val="clear" w:color="auto" w:fill="EDF5F0"/>
            <w:tcMar>
              <w:top w:w="120" w:type="dxa"/>
              <w:left w:w="160" w:type="dxa"/>
              <w:bottom w:w="120" w:type="dxa"/>
              <w:right w:w="160" w:type="dxa"/>
            </w:tcMar>
          </w:tcPr>
          <w:p w14:paraId="1FDB05DA" w14:textId="77777777" w:rsidR="003D03DC" w:rsidRDefault="00441E09">
            <w:pPr>
              <w:spacing w:after="60"/>
            </w:pPr>
            <w:r>
              <w:rPr>
                <w:b/>
                <w:bCs/>
                <w:color w:val="2E6B4F"/>
                <w:sz w:val="21"/>
                <w:szCs w:val="21"/>
              </w:rPr>
              <w:t>NOTICE THE PATTERN</w:t>
            </w:r>
          </w:p>
          <w:p w14:paraId="307C2E53" w14:textId="77777777" w:rsidR="003D03DC" w:rsidRDefault="00441E09">
            <w:pPr>
              <w:spacing w:after="50" w:line="264" w:lineRule="auto"/>
            </w:pPr>
            <w:r>
              <w:rPr>
                <w:b/>
                <w:bCs/>
                <w:color w:val="1F2937"/>
                <w:sz w:val="21"/>
                <w:szCs w:val="21"/>
              </w:rPr>
              <w:t xml:space="preserve">Michigan’s guidance ends every single item the same way: safest when cooked. </w:t>
            </w:r>
            <w:r>
              <w:rPr>
                <w:color w:val="1F2937"/>
                <w:sz w:val="21"/>
                <w:szCs w:val="21"/>
              </w:rPr>
              <w:t>Five different foods, five different washing techniques — and one conclusion underneath all of them. That’s not a coincidence. It’s the whole point.</w:t>
            </w:r>
          </w:p>
        </w:tc>
      </w:tr>
    </w:tbl>
    <w:p w14:paraId="42E884E4" w14:textId="77777777" w:rsidR="003D03DC" w:rsidRDefault="00441E09">
      <w:pPr>
        <w:pBdr>
          <w:bottom w:val="single" w:sz="6" w:space="3" w:color="D6E3DB"/>
        </w:pBdr>
        <w:spacing w:before="220" w:after="90"/>
      </w:pPr>
      <w:r>
        <w:rPr>
          <w:b/>
          <w:bCs/>
          <w:smallCaps/>
          <w:color w:val="2E6B4F"/>
          <w:sz w:val="24"/>
          <w:szCs w:val="24"/>
        </w:rPr>
        <w:t>KNOW THE SYMPTOMS</w:t>
      </w:r>
    </w:p>
    <w:tbl>
      <w:tblPr>
        <w:tblStyle w:val="a6"/>
        <w:tblW w:w="10080" w:type="dxa"/>
        <w:tblInd w:w="0" w:type="dxa"/>
        <w:tblBorders>
          <w:top w:val="single" w:sz="4" w:space="0" w:color="FDF6E7"/>
          <w:left w:val="single" w:sz="18" w:space="0" w:color="8A5A00"/>
          <w:bottom w:val="single" w:sz="4" w:space="0" w:color="FDF6E7"/>
          <w:right w:val="single" w:sz="4" w:space="0" w:color="FDF6E7"/>
          <w:insideH w:val="nil"/>
          <w:insideV w:val="nil"/>
        </w:tblBorders>
        <w:tblLayout w:type="fixed"/>
        <w:tblLook w:val="0000" w:firstRow="0" w:lastRow="0" w:firstColumn="0" w:lastColumn="0" w:noHBand="0" w:noVBand="0"/>
      </w:tblPr>
      <w:tblGrid>
        <w:gridCol w:w="10080"/>
      </w:tblGrid>
      <w:tr w:rsidR="003D03DC" w14:paraId="30026BCB" w14:textId="77777777">
        <w:tc>
          <w:tcPr>
            <w:tcW w:w="10080" w:type="dxa"/>
            <w:shd w:val="clear" w:color="auto" w:fill="FDF6E7"/>
            <w:tcMar>
              <w:top w:w="120" w:type="dxa"/>
              <w:left w:w="160" w:type="dxa"/>
              <w:bottom w:w="120" w:type="dxa"/>
              <w:right w:w="160" w:type="dxa"/>
            </w:tcMar>
          </w:tcPr>
          <w:p w14:paraId="6D3EE64F" w14:textId="77777777" w:rsidR="003D03DC" w:rsidRDefault="00441E09">
            <w:pPr>
              <w:spacing w:after="60"/>
            </w:pPr>
            <w:r>
              <w:rPr>
                <w:b/>
                <w:bCs/>
                <w:color w:val="8A5A00"/>
                <w:sz w:val="21"/>
                <w:szCs w:val="21"/>
              </w:rPr>
              <w:t>⚠</w:t>
            </w:r>
            <w:r>
              <w:rPr>
                <w:b/>
                <w:bCs/>
                <w:color w:val="8A5A00"/>
                <w:sz w:val="21"/>
                <w:szCs w:val="21"/>
              </w:rPr>
              <w:t xml:space="preserve">  Watery diarrhea that goes away — then comes back</w:t>
            </w:r>
          </w:p>
          <w:p w14:paraId="2116497B" w14:textId="77777777" w:rsidR="003D03DC" w:rsidRDefault="00441E09">
            <w:pPr>
              <w:spacing w:after="50" w:line="264" w:lineRule="auto"/>
            </w:pPr>
            <w:r>
              <w:rPr>
                <w:color w:val="1F2937"/>
              </w:rPr>
              <w:t>Symptoms usually start about a week after eating contaminated food (range: 2 days to 2+ weeks). Expect frequent watery diarrhea, stomach cramps, nausea, loss of appetite, fatigue, weight loss, and sometimes a low-grade fever.</w:t>
            </w:r>
          </w:p>
          <w:p w14:paraId="6F0DB2FF" w14:textId="77777777" w:rsidR="003D03DC" w:rsidRDefault="00441E09">
            <w:pPr>
              <w:spacing w:after="50" w:line="264" w:lineRule="auto"/>
            </w:pPr>
            <w:r>
              <w:rPr>
                <w:b/>
                <w:bCs/>
                <w:color w:val="1F2937"/>
              </w:rPr>
              <w:t xml:space="preserve">The telltale sign: symptoms seem to clear up, then relapse. </w:t>
            </w:r>
            <w:r>
              <w:rPr>
                <w:color w:val="1F2937"/>
              </w:rPr>
              <w:t>Untreated, it can drag on for a month or more.</w:t>
            </w:r>
          </w:p>
          <w:p w14:paraId="7B98CD21" w14:textId="77777777" w:rsidR="003D03DC" w:rsidRDefault="00441E09">
            <w:pPr>
              <w:spacing w:after="50" w:line="264" w:lineRule="auto"/>
            </w:pPr>
            <w:r>
              <w:rPr>
                <w:color w:val="1F2937"/>
              </w:rPr>
              <w:t xml:space="preserve">Cyclospora will not show up on a standard stool test — a provider </w:t>
            </w:r>
            <w:proofErr w:type="gramStart"/>
            <w:r>
              <w:rPr>
                <w:color w:val="1F2937"/>
              </w:rPr>
              <w:t>has to</w:t>
            </w:r>
            <w:proofErr w:type="gramEnd"/>
            <w:r>
              <w:rPr>
                <w:color w:val="1F2937"/>
              </w:rPr>
              <w:t xml:space="preserve"> order testing for it specifically. If you’ve had diarrhea for more than a few days, say the word “Cyclospora” out loud at your appointment. It is treatable with a common antibiotic once identified.</w:t>
            </w:r>
          </w:p>
        </w:tc>
      </w:tr>
    </w:tbl>
    <w:p w14:paraId="67EE0783" w14:textId="77777777" w:rsidR="003D03DC" w:rsidRDefault="00441E09">
      <w:pPr>
        <w:pBdr>
          <w:bottom w:val="single" w:sz="6" w:space="3" w:color="D6E3DB"/>
        </w:pBdr>
        <w:spacing w:before="220" w:after="90"/>
      </w:pPr>
      <w:r>
        <w:rPr>
          <w:b/>
          <w:bCs/>
          <w:smallCaps/>
          <w:color w:val="2E6B4F"/>
          <w:sz w:val="24"/>
          <w:szCs w:val="24"/>
        </w:rPr>
        <w:t>THIS IS A BAD YEAR — HERE’S WHERE THINGS STAND</w:t>
      </w:r>
    </w:p>
    <w:p w14:paraId="31A31258" w14:textId="77777777" w:rsidR="003D03DC" w:rsidRDefault="00441E09">
      <w:pPr>
        <w:spacing w:after="100" w:line="264" w:lineRule="auto"/>
      </w:pPr>
      <w:r>
        <w:rPr>
          <w:color w:val="1F2937"/>
        </w:rPr>
        <w:t>Cyclospora has a season: CDC counts it from May 1 through August 31, because cases climb sharply in spring and summer. The 2026 season is running well above normal, and multiple states are reporting more cases than the same point last year.</w:t>
      </w:r>
    </w:p>
    <w:tbl>
      <w:tblPr>
        <w:tblStyle w:val="a7"/>
        <w:tblW w:w="10080" w:type="dxa"/>
        <w:tblInd w:w="0" w:type="dxa"/>
        <w:tblBorders>
          <w:top w:val="single" w:sz="4" w:space="0" w:color="FDF6E7"/>
          <w:left w:val="single" w:sz="18" w:space="0" w:color="8A5A00"/>
          <w:bottom w:val="single" w:sz="4" w:space="0" w:color="FDF6E7"/>
          <w:right w:val="single" w:sz="4" w:space="0" w:color="FDF6E7"/>
          <w:insideH w:val="nil"/>
          <w:insideV w:val="nil"/>
        </w:tblBorders>
        <w:tblLayout w:type="fixed"/>
        <w:tblLook w:val="0000" w:firstRow="0" w:lastRow="0" w:firstColumn="0" w:lastColumn="0" w:noHBand="0" w:noVBand="0"/>
      </w:tblPr>
      <w:tblGrid>
        <w:gridCol w:w="10080"/>
      </w:tblGrid>
      <w:tr w:rsidR="003D03DC" w14:paraId="4E493EF7" w14:textId="77777777">
        <w:tc>
          <w:tcPr>
            <w:tcW w:w="10080" w:type="dxa"/>
            <w:shd w:val="clear" w:color="auto" w:fill="FDF6E7"/>
            <w:tcMar>
              <w:top w:w="120" w:type="dxa"/>
              <w:left w:w="160" w:type="dxa"/>
              <w:bottom w:w="120" w:type="dxa"/>
              <w:right w:w="160" w:type="dxa"/>
            </w:tcMar>
          </w:tcPr>
          <w:p w14:paraId="58038712" w14:textId="77777777" w:rsidR="003D03DC" w:rsidRDefault="00441E09">
            <w:pPr>
              <w:spacing w:after="60"/>
            </w:pPr>
            <w:r>
              <w:rPr>
                <w:b/>
                <w:bCs/>
                <w:color w:val="8A5A00"/>
                <w:sz w:val="21"/>
                <w:szCs w:val="21"/>
              </w:rPr>
              <w:t>BY THE NUMBERS — as of July 9, 2026</w:t>
            </w:r>
          </w:p>
          <w:p w14:paraId="1A6193DC" w14:textId="77777777" w:rsidR="003D03DC" w:rsidRDefault="00441E09">
            <w:pPr>
              <w:spacing w:after="50" w:line="264" w:lineRule="auto"/>
            </w:pPr>
            <w:r>
              <w:rPr>
                <w:b/>
                <w:bCs/>
                <w:color w:val="1F2937"/>
                <w:sz w:val="22"/>
                <w:szCs w:val="22"/>
              </w:rPr>
              <w:t xml:space="preserve">843 </w:t>
            </w:r>
            <w:r>
              <w:rPr>
                <w:color w:val="1F2937"/>
              </w:rPr>
              <w:t xml:space="preserve">confirmed cases caught inside the U.S., across </w:t>
            </w:r>
            <w:r>
              <w:rPr>
                <w:b/>
                <w:bCs/>
                <w:color w:val="1F2937"/>
              </w:rPr>
              <w:t>31 states</w:t>
            </w:r>
            <w:r>
              <w:rPr>
                <w:color w:val="1F2937"/>
              </w:rPr>
              <w:t xml:space="preserve"> — plus another </w:t>
            </w:r>
            <w:r>
              <w:rPr>
                <w:b/>
                <w:bCs/>
                <w:color w:val="1F2937"/>
              </w:rPr>
              <w:t>343</w:t>
            </w:r>
            <w:r>
              <w:rPr>
                <w:color w:val="1F2937"/>
              </w:rPr>
              <w:t xml:space="preserve"> in people who got sick while traveling abroad.</w:t>
            </w:r>
          </w:p>
          <w:p w14:paraId="2C721BFD" w14:textId="77777777" w:rsidR="003D03DC" w:rsidRDefault="00441E09">
            <w:pPr>
              <w:spacing w:after="50" w:line="264" w:lineRule="auto"/>
            </w:pPr>
            <w:r>
              <w:rPr>
                <w:b/>
                <w:bCs/>
                <w:color w:val="1F2937"/>
                <w:sz w:val="22"/>
                <w:szCs w:val="22"/>
              </w:rPr>
              <w:t xml:space="preserve">86 </w:t>
            </w:r>
            <w:r>
              <w:rPr>
                <w:color w:val="1F2937"/>
              </w:rPr>
              <w:t xml:space="preserve">people </w:t>
            </w:r>
            <w:proofErr w:type="gramStart"/>
            <w:r>
              <w:rPr>
                <w:color w:val="1F2937"/>
              </w:rPr>
              <w:t>hospitalized</w:t>
            </w:r>
            <w:proofErr w:type="gramEnd"/>
            <w:r>
              <w:rPr>
                <w:color w:val="1F2937"/>
              </w:rPr>
              <w:t>. No deaths reported.</w:t>
            </w:r>
          </w:p>
          <w:p w14:paraId="30A8942D" w14:textId="77777777" w:rsidR="003D03DC" w:rsidRDefault="00441E09">
            <w:pPr>
              <w:spacing w:after="50" w:line="264" w:lineRule="auto"/>
            </w:pPr>
            <w:r>
              <w:rPr>
                <w:b/>
                <w:bCs/>
                <w:color w:val="1F2937"/>
              </w:rPr>
              <w:t xml:space="preserve">More than 1,500 additional cases </w:t>
            </w:r>
            <w:r>
              <w:rPr>
                <w:color w:val="1F2937"/>
              </w:rPr>
              <w:t xml:space="preserve">are still being analyzed and are not yet in that 843. CDC </w:t>
            </w:r>
            <w:proofErr w:type="gramStart"/>
            <w:r>
              <w:rPr>
                <w:color w:val="1F2937"/>
              </w:rPr>
              <w:t>assumes about</w:t>
            </w:r>
            <w:proofErr w:type="gramEnd"/>
            <w:r>
              <w:rPr>
                <w:color w:val="1F2937"/>
              </w:rPr>
              <w:t xml:space="preserve"> a six-week lag between someone getting sick and the case reaching them — so these numbers are expected to keep climbing.</w:t>
            </w:r>
          </w:p>
        </w:tc>
      </w:tr>
    </w:tbl>
    <w:p w14:paraId="6B01618B" w14:textId="77777777" w:rsidR="003D03DC" w:rsidRDefault="003D03DC">
      <w:pPr>
        <w:spacing w:after="80"/>
      </w:pPr>
    </w:p>
    <w:p w14:paraId="2F080D34" w14:textId="77777777" w:rsidR="003D03DC" w:rsidRDefault="00441E09">
      <w:pPr>
        <w:spacing w:after="100" w:line="264" w:lineRule="auto"/>
      </w:pPr>
      <w:r>
        <w:rPr>
          <w:color w:val="1F2937"/>
        </w:rPr>
        <w:t xml:space="preserve">Investigators are working several multi-state clusters, but no single food source has been </w:t>
      </w:r>
      <w:proofErr w:type="gramStart"/>
      <w:r>
        <w:rPr>
          <w:color w:val="1F2937"/>
        </w:rPr>
        <w:t>named</w:t>
      </w:r>
      <w:proofErr w:type="gramEnd"/>
      <w:r>
        <w:rPr>
          <w:color w:val="1F2937"/>
        </w:rPr>
        <w:t xml:space="preserve"> and no recall has been issued. That means there is no one product to avoid — which is exactly why the tips on this page matter more than usual right now.</w:t>
      </w:r>
    </w:p>
    <w:tbl>
      <w:tblPr>
        <w:tblStyle w:val="a8"/>
        <w:tblW w:w="10080" w:type="dxa"/>
        <w:tblInd w:w="0" w:type="dxa"/>
        <w:tblBorders>
          <w:top w:val="single" w:sz="4" w:space="0" w:color="EDF5F0"/>
          <w:left w:val="single" w:sz="18" w:space="0" w:color="2E6B4F"/>
          <w:bottom w:val="single" w:sz="4" w:space="0" w:color="EDF5F0"/>
          <w:right w:val="single" w:sz="4" w:space="0" w:color="EDF5F0"/>
          <w:insideH w:val="nil"/>
          <w:insideV w:val="nil"/>
        </w:tblBorders>
        <w:tblLayout w:type="fixed"/>
        <w:tblLook w:val="0000" w:firstRow="0" w:lastRow="0" w:firstColumn="0" w:lastColumn="0" w:noHBand="0" w:noVBand="0"/>
      </w:tblPr>
      <w:tblGrid>
        <w:gridCol w:w="10080"/>
      </w:tblGrid>
      <w:tr w:rsidR="003D03DC" w14:paraId="321609D2" w14:textId="77777777">
        <w:tc>
          <w:tcPr>
            <w:tcW w:w="10080" w:type="dxa"/>
            <w:shd w:val="clear" w:color="auto" w:fill="EDF5F0"/>
            <w:tcMar>
              <w:top w:w="120" w:type="dxa"/>
              <w:left w:w="160" w:type="dxa"/>
              <w:bottom w:w="120" w:type="dxa"/>
              <w:right w:w="160" w:type="dxa"/>
            </w:tcMar>
          </w:tcPr>
          <w:p w14:paraId="62EF5988" w14:textId="77777777" w:rsidR="003D03DC" w:rsidRDefault="00441E09">
            <w:pPr>
              <w:spacing w:after="60"/>
            </w:pPr>
            <w:r>
              <w:rPr>
                <w:b/>
                <w:bCs/>
                <w:color w:val="2E6B4F"/>
                <w:sz w:val="21"/>
                <w:szCs w:val="21"/>
              </w:rPr>
              <w:t>★  GO TO YOUR STATE, NOT JUST THE CDC</w:t>
            </w:r>
          </w:p>
          <w:p w14:paraId="134AA7DA" w14:textId="77777777" w:rsidR="003D03DC" w:rsidRDefault="00441E09">
            <w:pPr>
              <w:spacing w:after="50" w:line="264" w:lineRule="auto"/>
            </w:pPr>
            <w:r>
              <w:rPr>
                <w:b/>
                <w:bCs/>
                <w:color w:val="1F2937"/>
              </w:rPr>
              <w:t xml:space="preserve">CDC says it plainly: state health departments may have more timely information than the national numbers do. </w:t>
            </w:r>
            <w:r>
              <w:rPr>
                <w:color w:val="1F2937"/>
              </w:rPr>
              <w:t>States report probable cases that CDC doesn’t count yet, so your state is often weeks ahead of the federal picture. Search “[your state] health department cyclospora” — that is the single most useful thing you can do this summer.</w:t>
            </w:r>
          </w:p>
        </w:tc>
      </w:tr>
    </w:tbl>
    <w:p w14:paraId="12839CE7" w14:textId="77777777" w:rsidR="003D03DC" w:rsidRDefault="00441E09">
      <w:pPr>
        <w:spacing w:before="100" w:after="140"/>
      </w:pPr>
      <w:r>
        <w:rPr>
          <w:i/>
          <w:iCs/>
          <w:color w:val="6B7280"/>
          <w:sz w:val="19"/>
          <w:szCs w:val="19"/>
        </w:rPr>
        <w:t>Numbers change weekly during outbreak season. Current data: cdc.gov/cyclosporiasis (Surveillance page), updated July 10, 2026.</w:t>
      </w:r>
    </w:p>
    <w:tbl>
      <w:tblPr>
        <w:tblStyle w:val="a9"/>
        <w:tblW w:w="10080" w:type="dxa"/>
        <w:tblInd w:w="0" w:type="dxa"/>
        <w:tblBorders>
          <w:top w:val="single" w:sz="4" w:space="0" w:color="EDF5F0"/>
          <w:left w:val="single" w:sz="18" w:space="0" w:color="2E6B4F"/>
          <w:bottom w:val="single" w:sz="4" w:space="0" w:color="EDF5F0"/>
          <w:right w:val="single" w:sz="4" w:space="0" w:color="EDF5F0"/>
          <w:insideH w:val="nil"/>
          <w:insideV w:val="nil"/>
        </w:tblBorders>
        <w:tblLayout w:type="fixed"/>
        <w:tblLook w:val="0000" w:firstRow="0" w:lastRow="0" w:firstColumn="0" w:lastColumn="0" w:noHBand="0" w:noVBand="0"/>
      </w:tblPr>
      <w:tblGrid>
        <w:gridCol w:w="10080"/>
      </w:tblGrid>
      <w:tr w:rsidR="003D03DC" w14:paraId="1AF816DC" w14:textId="77777777">
        <w:tc>
          <w:tcPr>
            <w:tcW w:w="10080" w:type="dxa"/>
            <w:shd w:val="clear" w:color="auto" w:fill="EDF5F0"/>
            <w:tcMar>
              <w:top w:w="120" w:type="dxa"/>
              <w:left w:w="160" w:type="dxa"/>
              <w:bottom w:w="120" w:type="dxa"/>
              <w:right w:w="160" w:type="dxa"/>
            </w:tcMar>
          </w:tcPr>
          <w:p w14:paraId="5E26F4B3" w14:textId="77777777" w:rsidR="003D03DC" w:rsidRDefault="00441E09">
            <w:pPr>
              <w:spacing w:after="60"/>
            </w:pPr>
            <w:r>
              <w:rPr>
                <w:b/>
                <w:bCs/>
                <w:color w:val="2E6B4F"/>
                <w:sz w:val="21"/>
                <w:szCs w:val="21"/>
              </w:rPr>
              <w:t>THE BOTTOM LINE</w:t>
            </w:r>
          </w:p>
          <w:p w14:paraId="17866C5E" w14:textId="77777777" w:rsidR="003D03DC" w:rsidRDefault="00441E09">
            <w:pPr>
              <w:spacing w:after="50" w:line="264" w:lineRule="auto"/>
            </w:pPr>
            <w:r>
              <w:rPr>
                <w:color w:val="1F2937"/>
                <w:sz w:val="21"/>
                <w:szCs w:val="21"/>
              </w:rPr>
              <w:t>You cannot wash your way out of Cyclospora, and the fridge won’t save you. Heat kills it. Awareness protects you. Know the risky foods, watch your state health department during outbreak season, and if diarrhea lasts more than a few days, ask your doctor to test for it by name.</w:t>
            </w:r>
          </w:p>
        </w:tc>
      </w:tr>
    </w:tbl>
    <w:p w14:paraId="3A91BF0D" w14:textId="77777777" w:rsidR="003D03DC" w:rsidRDefault="00441E09">
      <w:pPr>
        <w:pBdr>
          <w:top w:val="single" w:sz="6" w:space="6" w:color="D6E3DB"/>
        </w:pBdr>
        <w:spacing w:before="200"/>
      </w:pPr>
      <w:r>
        <w:rPr>
          <w:color w:val="6B7280"/>
          <w:sz w:val="16"/>
          <w:szCs w:val="16"/>
        </w:rPr>
        <w:t>Sources: CDC — Preventing Cyclosporiasis; Symptoms; Clinical Overview; Surveillance of Cyclosporiasis (updated July 10, 2026; counts as of July 9, 2026). Item-by-item produce guidance: Michigan Dept. of Health &amp; Human Services, Cyclosporiasis Outbreak 2026. Case counts rise through the season — check your state health department for current figures. For education; not medical advice.</w:t>
      </w:r>
    </w:p>
    <w:p w14:paraId="045B3A5B" w14:textId="77777777" w:rsidR="003D03DC" w:rsidRDefault="00441E09">
      <w:pPr>
        <w:spacing w:before="40"/>
      </w:pPr>
      <w:r>
        <w:rPr>
          <w:b/>
          <w:bCs/>
          <w:color w:val="2E6B4F"/>
          <w:sz w:val="16"/>
          <w:szCs w:val="16"/>
        </w:rPr>
        <w:t>Food and Health Communications  ·  foodandhealth.com</w:t>
      </w:r>
    </w:p>
    <w:sectPr w:rsidR="003D03DC">
      <w:pgSz w:w="12240" w:h="15840"/>
      <w:pgMar w:top="720" w:right="1080" w:bottom="620" w:left="108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4689FE4-A1E5-4718-A538-E3ED28274470}"/>
    <w:embedBold r:id="rId2" w:fontKey="{62B66957-5441-4238-B042-5A6D67D9D531}"/>
    <w:embedItalic r:id="rId3" w:fontKey="{2C247440-C459-4D8A-A556-868E84FDD84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DBDEE819-51BE-4C4E-BDDD-37EBD081649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43C3816B-2C4F-4803-A003-15702EBB4A9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096FFF"/>
    <w:multiLevelType w:val="multilevel"/>
    <w:tmpl w:val="E1A63544"/>
    <w:lvl w:ilvl="0">
      <w:start w:val="1"/>
      <w:numFmt w:val="bullet"/>
      <w:lvlText w:val="•"/>
      <w:lvlJc w:val="left"/>
      <w:pPr>
        <w:ind w:left="360" w:hanging="23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138328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3DC"/>
    <w:rsid w:val="002B604A"/>
    <w:rsid w:val="003D03DC"/>
    <w:rsid w:val="00FC3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23865"/>
  <w15:docId w15:val="{EEE722BC-E677-4A27-85AF-720911ED2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1129</Words>
  <Characters>6439</Characters>
  <Application>Microsoft Office Word</Application>
  <DocSecurity>0</DocSecurity>
  <Lines>53</Lines>
  <Paragraphs>15</Paragraphs>
  <ScaleCrop>false</ScaleCrop>
  <Company/>
  <LinksUpToDate>false</LinksUpToDate>
  <CharactersWithSpaces>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Marie Fleming</dc:creator>
  <cp:lastModifiedBy>Anne Marie Fleming</cp:lastModifiedBy>
  <cp:revision>2</cp:revision>
  <dcterms:created xsi:type="dcterms:W3CDTF">2026-07-13T21:25:00Z</dcterms:created>
  <dcterms:modified xsi:type="dcterms:W3CDTF">2026-07-13T21:25:00Z</dcterms:modified>
</cp:coreProperties>
</file>